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75" w:type="dxa"/>
        <w:jc w:val="center"/>
        <w:shd w:val="clear" w:color="auto" w:fill="D0E0E3"/>
        <w:tblCellMar>
          <w:left w:w="0" w:type="dxa"/>
          <w:right w:w="0" w:type="dxa"/>
        </w:tblCellMar>
        <w:tblLook w:val="04A0"/>
      </w:tblPr>
      <w:tblGrid>
        <w:gridCol w:w="11475"/>
      </w:tblGrid>
      <w:tr w:rsidR="00F8203A" w:rsidRPr="00F8203A" w:rsidTr="00F8203A">
        <w:trPr>
          <w:jc w:val="center"/>
        </w:trPr>
        <w:tc>
          <w:tcPr>
            <w:tcW w:w="0" w:type="auto"/>
            <w:shd w:val="clear" w:color="auto" w:fill="D0E0E3"/>
            <w:vAlign w:val="center"/>
            <w:hideMark/>
          </w:tcPr>
          <w:tbl>
            <w:tblPr>
              <w:tblW w:w="10200" w:type="dxa"/>
              <w:jc w:val="center"/>
              <w:shd w:val="clear" w:color="auto" w:fill="B65451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F8203A" w:rsidRPr="00F8203A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225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00"/>
                  </w:tblGrid>
                  <w:tr w:rsidR="00F8203A" w:rsidRPr="00F8203A">
                    <w:tc>
                      <w:tcPr>
                        <w:tcW w:w="99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900"/>
                        </w:tblGrid>
                        <w:tr w:rsidR="00F8203A" w:rsidRPr="00F820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49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80"/>
                                  <w:sz w:val="33"/>
                                  <w:szCs w:val="33"/>
                                  <w:lang w:eastAsia="ru-RU"/>
                                </w:rPr>
                              </w:pPr>
                              <w:r w:rsidRPr="00F8203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sz w:val="33"/>
                                  <w:szCs w:val="33"/>
                                  <w:lang w:eastAsia="ru-RU"/>
                                </w:rPr>
                                <w:t>Подготовлен майский номер журнала</w:t>
                              </w:r>
                            </w:p>
                            <w:p w:rsidR="00F8203A" w:rsidRPr="00F8203A" w:rsidRDefault="00F8203A" w:rsidP="00F8203A">
                              <w:pPr>
                                <w:spacing w:after="0" w:line="49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80"/>
                                  <w:sz w:val="33"/>
                                  <w:szCs w:val="33"/>
                                  <w:lang w:eastAsia="ru-RU"/>
                                </w:rPr>
                              </w:pPr>
                              <w:r w:rsidRPr="00F8203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sz w:val="33"/>
                                  <w:szCs w:val="33"/>
                                  <w:lang w:eastAsia="ru-RU"/>
                                </w:rPr>
                                <w:t>«</w:t>
                              </w:r>
                              <w:proofErr w:type="spellStart"/>
                              <w:r w:rsidRPr="00F8203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sz w:val="33"/>
                                  <w:szCs w:val="33"/>
                                  <w:lang w:eastAsia="ru-RU"/>
                                </w:rPr>
                                <w:t>ЖКХэксперт</w:t>
                              </w:r>
                              <w:proofErr w:type="spellEnd"/>
                              <w:r w:rsidRPr="00F8203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sz w:val="33"/>
                                  <w:szCs w:val="33"/>
                                  <w:lang w:eastAsia="ru-RU"/>
                                </w:rPr>
                                <w:t>: экономика и право»</w:t>
                              </w: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8203A" w:rsidRPr="00F8203A" w:rsidRDefault="00F8203A" w:rsidP="00F82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03A" w:rsidRPr="00F8203A">
              <w:trPr>
                <w:jc w:val="center"/>
              </w:trPr>
              <w:tc>
                <w:tcPr>
                  <w:tcW w:w="0" w:type="auto"/>
                  <w:shd w:val="clear" w:color="auto" w:fill="B65451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00"/>
                  </w:tblGrid>
                  <w:tr w:rsidR="00F8203A" w:rsidRPr="00F8203A">
                    <w:tc>
                      <w:tcPr>
                        <w:tcW w:w="102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200"/>
                        </w:tblGrid>
                        <w:tr w:rsidR="00F8203A" w:rsidRPr="00F820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8203A" w:rsidRPr="00F8203A" w:rsidRDefault="00F8203A" w:rsidP="00F82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203A" w:rsidRPr="00F8203A" w:rsidRDefault="00F8203A" w:rsidP="00F82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F8203A" w:rsidRPr="00F8203A" w:rsidRDefault="00F8203A" w:rsidP="00F820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75" w:type="dxa"/>
        <w:jc w:val="center"/>
        <w:shd w:val="clear" w:color="auto" w:fill="D0E0E3"/>
        <w:tblCellMar>
          <w:left w:w="0" w:type="dxa"/>
          <w:right w:w="0" w:type="dxa"/>
        </w:tblCellMar>
        <w:tblLook w:val="04A0"/>
      </w:tblPr>
      <w:tblGrid>
        <w:gridCol w:w="11475"/>
      </w:tblGrid>
      <w:tr w:rsidR="00F8203A" w:rsidRPr="00F8203A" w:rsidTr="00F8203A">
        <w:trPr>
          <w:jc w:val="center"/>
        </w:trPr>
        <w:tc>
          <w:tcPr>
            <w:tcW w:w="0" w:type="auto"/>
            <w:shd w:val="clear" w:color="auto" w:fill="D0E0E3"/>
            <w:vAlign w:val="center"/>
            <w:hideMark/>
          </w:tcPr>
          <w:tbl>
            <w:tblPr>
              <w:tblW w:w="10200" w:type="dxa"/>
              <w:jc w:val="center"/>
              <w:tblBorders>
                <w:top w:val="single" w:sz="6" w:space="0" w:color="EFEFEF"/>
                <w:left w:val="single" w:sz="6" w:space="0" w:color="EFEFEF"/>
                <w:bottom w:val="single" w:sz="6" w:space="0" w:color="EFEFEF"/>
                <w:right w:val="single" w:sz="6" w:space="0" w:color="EFEFEF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F8203A" w:rsidRPr="00F8203A">
              <w:trPr>
                <w:jc w:val="center"/>
              </w:trPr>
              <w:tc>
                <w:tcPr>
                  <w:tcW w:w="0" w:type="auto"/>
                  <w:shd w:val="clear" w:color="auto" w:fill="EBF4FB"/>
                  <w:tcMar>
                    <w:top w:w="75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F8203A" w:rsidRPr="00F8203A">
                    <w:tc>
                      <w:tcPr>
                        <w:tcW w:w="96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F8203A" w:rsidRPr="00F820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8203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 номер включено много интересных практических отраслевых материалов, среди которых можно отметить:</w:t>
                              </w: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8203A" w:rsidRPr="00F8203A" w:rsidRDefault="00F8203A" w:rsidP="00F82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203A" w:rsidRPr="00F8203A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F8203A" w:rsidRPr="00F8203A">
                    <w:tc>
                      <w:tcPr>
                        <w:tcW w:w="95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6"/>
                          <w:gridCol w:w="9444"/>
                        </w:tblGrid>
                        <w:tr w:rsidR="00F8203A" w:rsidRPr="00F8203A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444"/>
                              </w:tblGrid>
                              <w:tr w:rsidR="00F8203A" w:rsidRPr="00F8203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разделе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«Живой разговор»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- интервью с генеральным директором ООО «Управляющая компания «НА ПОЛЕВОЙ» г. Тюмень Натальей Александровной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Темниковой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«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Сфера управления многоквартирными домами - важнейшая сфера, напрямую связанная с безопасностью каждого жителя многоквартирного дома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». Интервью посвящено проблемам, с которыми приходится иметь дело практически каждой управляющей организации: работа по так называемому «муниципальному тарифу», штрафные санкции, «рейдерские захваты многоквартирных домов» недобросовестными управляющими организациями, недобросовестная конкуренция, и возможным путям их решения на практике.</w:t>
                                    </w:r>
                                  </w:p>
                                </w:tc>
                              </w:tr>
                            </w:tbl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8203A" w:rsidRPr="00F8203A">
                    <w:tc>
                      <w:tcPr>
                        <w:tcW w:w="95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6"/>
                          <w:gridCol w:w="9444"/>
                        </w:tblGrid>
                        <w:tr w:rsidR="00F8203A" w:rsidRPr="00F8203A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444"/>
                              </w:tblGrid>
                              <w:tr w:rsidR="00F8203A" w:rsidRPr="00F8203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разделе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«Комментарии и прогнозы»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- статья доцента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Финуниверситета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при Правительстве РФ, члена Комитета ТПП РФ по предпринимательству в жилищной и коммунальной сфере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Сусаны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Арсеновны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Киракосян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«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Пора признать, что собственник должен быть не активным – он должен быть осознанным. Обзор ключевых проблем жилищной сферы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». В статье систематизированы ключевые проблемы жилищной сферы и намечены пути их решения, причем особое внимание уделено формированию бесконфликтной среды и проблеме банкротства управляющих организаций и ТСЖ.</w:t>
                                    </w:r>
                                  </w:p>
                                </w:tc>
                              </w:tr>
                            </w:tbl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8203A" w:rsidRPr="00F8203A">
                    <w:tc>
                      <w:tcPr>
                        <w:tcW w:w="95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6"/>
                          <w:gridCol w:w="9444"/>
                        </w:tblGrid>
                        <w:tr w:rsidR="00F8203A" w:rsidRPr="00F8203A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444"/>
                              </w:tblGrid>
                              <w:tr w:rsidR="00F8203A" w:rsidRPr="00F8203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разделе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«Официальные разъяснения»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- разъяснения федеральных органов исполнительной власти, в том числе:</w:t>
                                    </w:r>
                                  </w:p>
                                  <w:p w:rsidR="00F8203A" w:rsidRPr="00F8203A" w:rsidRDefault="00F8203A" w:rsidP="00F8203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225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Минстроя России:</w:t>
                                    </w:r>
                                  </w:p>
                                </w:tc>
                              </w:tr>
                            </w:tbl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8203A" w:rsidRPr="00F8203A">
                    <w:tc>
                      <w:tcPr>
                        <w:tcW w:w="95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6"/>
                          <w:gridCol w:w="8394"/>
                        </w:tblGrid>
                        <w:tr w:rsidR="00F8203A" w:rsidRPr="00F8203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600" w:type="dxa"/>
                                <w:bottom w:w="0" w:type="dxa"/>
                                <w:right w:w="600" w:type="dxa"/>
                              </w:tcMar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4"/>
                              </w:tblGrid>
                              <w:tr w:rsidR="00F8203A" w:rsidRPr="00F8203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закупок;</w:t>
                                    </w:r>
                                  </w:p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 по контролю исполнения расширенных требований к процессу сбора и утилизации ртутьсодержащих ламп у потребителей-жителей МКД, утвержденных постановлением Правительства РФ от 28 декабря 2020 г. № 2314.</w:t>
                                    </w:r>
                                  </w:p>
                                </w:tc>
                              </w:tr>
                            </w:tbl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8203A" w:rsidRPr="00F8203A">
                    <w:tc>
                      <w:tcPr>
                        <w:tcW w:w="95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81"/>
                          <w:gridCol w:w="8919"/>
                        </w:tblGrid>
                        <w:tr w:rsidR="00F8203A" w:rsidRPr="00F8203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60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19"/>
                              </w:tblGrid>
                              <w:tr w:rsidR="00F8203A" w:rsidRPr="00F8203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203A" w:rsidRPr="00F8203A" w:rsidRDefault="00F8203A" w:rsidP="00F8203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Роспотребнадзора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о порядке </w:t>
                                    </w:r>
                                    <w:proofErr w:type="gram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установления периодичности проведения влажной уборки общего имущества</w:t>
                                    </w:r>
                                    <w:proofErr w:type="gram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 многоквартирном доме с применением моющих и чистящих средств.</w:t>
                                    </w:r>
                                  </w:p>
                                  <w:p w:rsidR="00F8203A" w:rsidRPr="00F8203A" w:rsidRDefault="00F8203A" w:rsidP="00F8203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ФАС России:</w:t>
                                    </w:r>
                                  </w:p>
                                </w:tc>
                              </w:tr>
                            </w:tbl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8203A" w:rsidRPr="00F8203A">
                    <w:tc>
                      <w:tcPr>
                        <w:tcW w:w="95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6"/>
                          <w:gridCol w:w="8394"/>
                        </w:tblGrid>
                        <w:tr w:rsidR="00F8203A" w:rsidRPr="00F8203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600" w:type="dxa"/>
                                <w:bottom w:w="0" w:type="dxa"/>
                                <w:right w:w="600" w:type="dxa"/>
                              </w:tcMar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94"/>
                              </w:tblGrid>
                              <w:tr w:rsidR="00F8203A" w:rsidRPr="00F8203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proofErr w:type="gram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 вопросу о предоставлении регулируемыми организациями обосновывающих документов к заявлениям об установлении двухкомпонентных тарифов на горячую воду</w:t>
                                    </w:r>
                                    <w:proofErr w:type="gram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;</w:t>
                                    </w:r>
                                  </w:p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 вопросам взимания платы за негативное воздействие на работу централизованных систем водоотведения и за сброс загрязняющих веществ в составе сточных вод сверх установленных нормативов.</w:t>
                                    </w:r>
                                  </w:p>
                                </w:tc>
                              </w:tr>
                            </w:tbl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8203A" w:rsidRPr="00F8203A">
                    <w:tc>
                      <w:tcPr>
                        <w:tcW w:w="95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6"/>
                          <w:gridCol w:w="9444"/>
                        </w:tblGrid>
                        <w:tr w:rsidR="00F8203A" w:rsidRPr="00F8203A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444"/>
                              </w:tblGrid>
                              <w:tr w:rsidR="00F8203A" w:rsidRPr="00F8203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225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разделе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«Консультации специалистов»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- ответы на ряд актуальных вопросов, в том числе: правомерно ли решение ОСС, нарушающее Правила противопожарного режима; как оспорить решение ОСС по вопросу проведения работ по установке фильтров на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общедомовое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оборудование, если в нем участвовало менее пятидесяти процентов от общего числа участников; правомерно ли объединение счетов на электроэнергию и вывоз твердых бытовых отходов в одном платежном документе.</w:t>
                                    </w:r>
                                  </w:p>
                                </w:tc>
                              </w:tr>
                            </w:tbl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8203A" w:rsidRPr="00F8203A">
                    <w:tc>
                      <w:tcPr>
                        <w:tcW w:w="95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6"/>
                          <w:gridCol w:w="9444"/>
                        </w:tblGrid>
                        <w:tr w:rsidR="00F8203A" w:rsidRPr="00F8203A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444"/>
                              </w:tblGrid>
                              <w:tr w:rsidR="00F8203A" w:rsidRPr="00F8203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225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разделе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«Практика бухгалтера»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 ответы на ряд актуальных вопросов, в том числе: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учитывается ли величина субсидии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 компенсацию выпадающих доходов теплоснабжающих организаций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; как правильно учесть в бухгалтерском и налоговом учете "недополученный доход" из городского бюджета (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межтарифную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разницу).</w:t>
                                    </w:r>
                                  </w:p>
                                </w:tc>
                              </w:tr>
                            </w:tbl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8203A" w:rsidRPr="00F8203A">
                    <w:tc>
                      <w:tcPr>
                        <w:tcW w:w="95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6"/>
                          <w:gridCol w:w="9444"/>
                        </w:tblGrid>
                        <w:tr w:rsidR="00F8203A" w:rsidRPr="00F8203A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444"/>
                              </w:tblGrid>
                              <w:tr w:rsidR="00F8203A" w:rsidRPr="00F8203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225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разделе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«Судебная практика»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  обзор отраслевой судебной практики, в том числе: об "объединении" протоколов о лицензионных нарушениях для одной управляющей организации, в рамках одной проверки в разных многоквартирных домах; о праве управляющей организации получить расчетного центра базу данных о регистрационном учете граждан - жителей обслуживаемого дома; о праве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ресурсоснабжающей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организации на "прямом договоре" истребовать от управляющей организации идентификаторы граждан-собственников помещений МКД; о незаконности агентского соглашения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ресурсоснабжающей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организации с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коллекторским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агентством по работе с коммунальными должниками.</w:t>
                                    </w:r>
                                  </w:p>
                                </w:tc>
                              </w:tr>
                            </w:tbl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8203A" w:rsidRPr="00F8203A">
                    <w:tc>
                      <w:tcPr>
                        <w:tcW w:w="95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6"/>
                          <w:gridCol w:w="9444"/>
                        </w:tblGrid>
                        <w:tr w:rsidR="00F8203A" w:rsidRPr="00F8203A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444"/>
                              </w:tblGrid>
                              <w:tr w:rsidR="00F8203A" w:rsidRPr="00F8203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225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разделе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«Кадры в ЖКХ»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 информацию «Эксперты НАРК ответили на вопросы по теме НОК и применения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профстандартов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с ответами на вопросы:</w:t>
                                    </w:r>
                                  </w:p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 могут ли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ЦОКи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оказывать образовательные услуги по подготовке к профессиональном экзамену;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- чем отличается НОК от аттестации; как часто проходит актуализация комплектов оценочных средств, их привязка </w:t>
                                    </w:r>
                                    <w:proofErr w:type="gram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</w:t>
                                    </w:r>
                                    <w:proofErr w:type="gram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утвержденным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профстандартам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 ряд других.</w:t>
                                    </w:r>
                                  </w:p>
                                </w:tc>
                              </w:tr>
                            </w:tbl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8203A" w:rsidRPr="00F8203A">
                    <w:tc>
                      <w:tcPr>
                        <w:tcW w:w="95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6"/>
                          <w:gridCol w:w="9444"/>
                        </w:tblGrid>
                        <w:tr w:rsidR="00F8203A" w:rsidRPr="00F8203A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444"/>
                              </w:tblGrid>
                              <w:tr w:rsidR="00F8203A" w:rsidRPr="00F8203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225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разделе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«Антимонопольная практика»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обзор 15 нарушений антимонопольного законодательства, в том числе случая, когда РСО оштрафовано на 44,5 миллиона рублей за отказ ряду потребителей в заключени</w:t>
                                    </w:r>
                                    <w:proofErr w:type="gram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proofErr w:type="gram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договоров теплоснабжения.</w:t>
                                    </w:r>
                                  </w:p>
                                </w:tc>
                              </w:tr>
                            </w:tbl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8203A" w:rsidRPr="00F8203A">
                    <w:tc>
                      <w:tcPr>
                        <w:tcW w:w="95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6"/>
                          <w:gridCol w:w="9444"/>
                        </w:tblGrid>
                        <w:tr w:rsidR="00F8203A" w:rsidRPr="00F8203A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444"/>
                              </w:tblGrid>
                              <w:tr w:rsidR="00F8203A" w:rsidRPr="00F8203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225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разделе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«Региональный и муниципальный опыт»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обзор региональных и муниципальных документов, направленных на решение актуальных для сферы ЖКХ проблем.</w:t>
                                    </w:r>
                                  </w:p>
                                </w:tc>
                              </w:tr>
                            </w:tbl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8203A" w:rsidRPr="00F8203A">
                    <w:tc>
                      <w:tcPr>
                        <w:tcW w:w="95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6"/>
                          <w:gridCol w:w="9444"/>
                        </w:tblGrid>
                        <w:tr w:rsidR="00F8203A" w:rsidRPr="00F8203A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444"/>
                              </w:tblGrid>
                              <w:tr w:rsidR="00F8203A" w:rsidRPr="00F8203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225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8203A" w:rsidRPr="00F8203A" w:rsidRDefault="00F8203A" w:rsidP="00F8203A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15 </w:t>
                                    </w:r>
                                    <w:proofErr w:type="gram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новых</w:t>
                                    </w:r>
                                    <w:proofErr w:type="gram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актуальных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B2222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документов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подробными аннотациями и другую </w:t>
                                    </w:r>
                                    <w:proofErr w:type="spellStart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новуюи</w:t>
                                    </w:r>
                                    <w:proofErr w:type="spellEnd"/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профессиональную информацию</w:t>
                                    </w:r>
                                    <w:r w:rsidRPr="00F8203A">
                                      <w:rPr>
                                        <w:rFonts w:ascii="Arial" w:eastAsia="Times New Roman" w:hAnsi="Arial" w:cs="Arial"/>
                                        <w:color w:val="0000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которая позволит принимать правильные решения в практической деятельности, понимать тенденции и перспективы развития жилищно-коммунальной сферы.</w:t>
                                    </w:r>
                                  </w:p>
                                </w:tc>
                              </w:tr>
                            </w:tbl>
                            <w:p w:rsidR="00F8203A" w:rsidRPr="00F8203A" w:rsidRDefault="00F8203A" w:rsidP="00F820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8203A" w:rsidRPr="00F8203A" w:rsidRDefault="00F8203A" w:rsidP="00F82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203A" w:rsidRPr="00F8203A" w:rsidRDefault="00F8203A" w:rsidP="00F82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F8203A" w:rsidRPr="00F8203A" w:rsidRDefault="00F8203A" w:rsidP="00F820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75" w:type="dxa"/>
        <w:jc w:val="center"/>
        <w:shd w:val="clear" w:color="auto" w:fill="D0E0E3"/>
        <w:tblCellMar>
          <w:left w:w="0" w:type="dxa"/>
          <w:right w:w="0" w:type="dxa"/>
        </w:tblCellMar>
        <w:tblLook w:val="04A0"/>
      </w:tblPr>
      <w:tblGrid>
        <w:gridCol w:w="11475"/>
      </w:tblGrid>
      <w:tr w:rsidR="00F8203A" w:rsidRPr="00F8203A" w:rsidTr="00F8203A">
        <w:trPr>
          <w:jc w:val="center"/>
        </w:trPr>
        <w:tc>
          <w:tcPr>
            <w:tcW w:w="0" w:type="auto"/>
            <w:shd w:val="clear" w:color="auto" w:fill="D0E0E3"/>
            <w:vAlign w:val="center"/>
            <w:hideMark/>
          </w:tcPr>
          <w:tbl>
            <w:tblPr>
              <w:tblW w:w="10200" w:type="dxa"/>
              <w:jc w:val="center"/>
              <w:shd w:val="clear" w:color="auto" w:fill="F3F3F3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F8203A" w:rsidRPr="00F8203A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F8203A" w:rsidRPr="00F8203A">
                    <w:tc>
                      <w:tcPr>
                        <w:tcW w:w="96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0"/>
                        </w:tblGrid>
                        <w:tr w:rsidR="00F8203A" w:rsidRPr="00F820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203A" w:rsidRPr="00F8203A" w:rsidRDefault="00F8203A" w:rsidP="00F8203A">
                              <w:pPr>
                                <w:spacing w:after="0" w:line="40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8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F8203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sz w:val="27"/>
                                  <w:lang w:eastAsia="ru-RU"/>
                                </w:rPr>
                                <w:t>Присоединяйтесь к числу наших подписчиков!</w:t>
                              </w:r>
                            </w:p>
                          </w:tc>
                        </w:tr>
                      </w:tbl>
                      <w:p w:rsidR="00F8203A" w:rsidRPr="00F8203A" w:rsidRDefault="00F8203A" w:rsidP="00F820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8203A" w:rsidRPr="00F8203A" w:rsidRDefault="00F8203A" w:rsidP="00F82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203A" w:rsidRPr="00F8203A" w:rsidRDefault="00F8203A" w:rsidP="00F82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C2122E" w:rsidRDefault="00C2122E" w:rsidP="00F8203A"/>
    <w:sectPr w:rsidR="00C2122E" w:rsidSect="00C2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5DEC"/>
    <w:multiLevelType w:val="multilevel"/>
    <w:tmpl w:val="2638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B54A9"/>
    <w:multiLevelType w:val="multilevel"/>
    <w:tmpl w:val="4E3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203A"/>
    <w:rsid w:val="00C2122E"/>
    <w:rsid w:val="00F8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">
    <w:name w:val="msonormal_mr_css_attr_mr_css_attr"/>
    <w:basedOn w:val="a"/>
    <w:rsid w:val="00F8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82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2021-05-13T11:42:00Z</dcterms:created>
  <dcterms:modified xsi:type="dcterms:W3CDTF">2021-05-13T11:42:00Z</dcterms:modified>
</cp:coreProperties>
</file>