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3" w:rsidRPr="00253313" w:rsidRDefault="00253313" w:rsidP="0002559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8"/>
          <w:szCs w:val="48"/>
          <w:lang w:eastAsia="ru-RU"/>
        </w:rPr>
      </w:pPr>
      <w:r w:rsidRPr="00253313">
        <w:rPr>
          <w:rFonts w:ascii="Arial" w:eastAsia="Times New Roman" w:hAnsi="Arial" w:cs="Arial"/>
          <w:color w:val="1C1C1C"/>
          <w:kern w:val="36"/>
          <w:sz w:val="48"/>
          <w:szCs w:val="48"/>
          <w:lang w:eastAsia="ru-RU"/>
        </w:rPr>
        <w:t>Кто ответит за серую зарплату и как доказать ее существование</w:t>
      </w:r>
    </w:p>
    <w:p w:rsidR="00253313" w:rsidRPr="00253313" w:rsidRDefault="00253313" w:rsidP="00253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253313" w:rsidRPr="00512E33" w:rsidRDefault="00253313" w:rsidP="000255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Премии в конвертах – распространенное явление. Работодатель для собственной выгоды отчисляет в </w:t>
      </w:r>
      <w:proofErr w:type="gramStart"/>
      <w:r w:rsidRPr="00512E3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налоговую</w:t>
      </w:r>
      <w:proofErr w:type="gramEnd"/>
      <w:r w:rsidRPr="00512E3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процент только от «белой» части зарплаты. Страдает от серых схем работник: низкие отпускные, больничные выплаты и минимальная пенсия в будущем.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Получать и платить серую зарплату невыгодно для работника и опасно для работодателя, тем не </w:t>
      </w:r>
      <w:proofErr w:type="gramStart"/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менее</w:t>
      </w:r>
      <w:proofErr w:type="gramEnd"/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11% </w:t>
      </w:r>
      <w:hyperlink r:id="rId5" w:tgtFrame="_blank" w:history="1">
        <w:r w:rsidRPr="00512E33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опрошенных ВЦИОМ</w:t>
        </w:r>
      </w:hyperlink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ответили, что регулярно забирают все жалованье или его часть в «конверте», а среди москвичей и петербуржцев количество людей, имевших подобный опыт, доходит до 44%. Согласно опросу, деньги «вне кассы» чаще предлагают работникам до 24 лет.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все организации хотят платить отчисления в Пенсионный фонд и Федеральную налоговую службу от полной суммы зарплаты. Последствия таких нарушений касаются наемного персонала – людей, которым официально едва начисляют МРОТ, а они хотят взять ипотеку или машину в кредит.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Рассмотрим</w:t>
      </w:r>
      <w:proofErr w:type="gramStart"/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,</w:t>
      </w:r>
      <w:proofErr w:type="gramEnd"/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какие последствия ждут компании, которые оплачивают услуги сотрудников, используя нелегальные схемы, и как можно выйти из зарплатной тени.</w:t>
      </w:r>
    </w:p>
    <w:p w:rsidR="00253313" w:rsidRPr="00253313" w:rsidRDefault="00253313" w:rsidP="00025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1C1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19775" cy="3732109"/>
            <wp:effectExtent l="19050" t="0" r="9525" b="0"/>
            <wp:docPr id="3" name="Рисунок 3" descr="серая зарплата сотруд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ая зарплата сотрудник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725" cy="373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13" w:rsidRPr="00253313" w:rsidRDefault="00253313" w:rsidP="0002559B">
      <w:pPr>
        <w:shd w:val="clear" w:color="auto" w:fill="FFFFFF"/>
        <w:spacing w:before="900" w:after="300" w:line="240" w:lineRule="auto"/>
        <w:jc w:val="both"/>
        <w:outlineLvl w:val="1"/>
        <w:rPr>
          <w:rFonts w:ascii="Arial" w:eastAsia="Times New Roman" w:hAnsi="Arial" w:cs="Arial"/>
          <w:color w:val="1C1C1C"/>
          <w:sz w:val="36"/>
          <w:szCs w:val="36"/>
          <w:lang w:eastAsia="ru-RU"/>
        </w:rPr>
      </w:pPr>
      <w:r w:rsidRPr="00253313">
        <w:rPr>
          <w:rFonts w:ascii="Arial" w:eastAsia="Times New Roman" w:hAnsi="Arial" w:cs="Arial"/>
          <w:color w:val="1C1C1C"/>
          <w:sz w:val="36"/>
          <w:szCs w:val="36"/>
          <w:lang w:eastAsia="ru-RU"/>
        </w:rPr>
        <w:lastRenderedPageBreak/>
        <w:t>Какую зарплату называют серой и почему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Заработная плата – установленная сумма, выплачиваемая независимо от того, сколько часов вы работаете. Она используется для оплаты труда штатных сотрудников на постоянной основе. Каждый платеж – это фиксированная сумма.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Серым называют такой способ оплаты труда, когда человек забирает часть денег по ведомости (обычно эта сумма немногим превышает МРОТ), а часть – напрямую, наличными.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Вторая половина оплаты не фиксируется в бухгалтерских отчетах, от суммы неофициальной надбавки не делаются отчисления в государственные ведомства. Это снижает нагрузку на собственника предприятия, но ограничивает права и возможности персонала.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Минусы для получателя теневых доплат велики, он не может:</w:t>
      </w:r>
    </w:p>
    <w:p w:rsidR="00253313" w:rsidRPr="00512E33" w:rsidRDefault="00253313" w:rsidP="0002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пожаловаться на задержку или сокращение дополнительных выплат;</w:t>
      </w:r>
    </w:p>
    <w:p w:rsidR="00253313" w:rsidRPr="00512E33" w:rsidRDefault="00253313" w:rsidP="0002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подтвердить свои истинные доходы в банке или при подготовке документов на визу;</w:t>
      </w:r>
    </w:p>
    <w:p w:rsidR="00253313" w:rsidRPr="00512E33" w:rsidRDefault="00253313" w:rsidP="0002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снять в полном объеме отпускные, больничные, компенсацию после сокращения.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Другая нелегальная схема оплаты труда включает регистрацию сотрудников в качестве самозанятых – особой категории, которая дает как работодателям, так и работникам право на более низкие ставки.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Еще одна схема, пережиток 1990-х годов, используется редко: сотрудников включают в список акционеров и выплачивают регулярные дивиденды в дополнение к официальной оплате.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Существует схема заработной платы, когда «одноразовые» доплаты, не облагаемые налогом бонусы или компенсационные вознаграждения, становятся фиксированной ежемесячной добавкой к оплате.</w:t>
      </w:r>
    </w:p>
    <w:p w:rsidR="00253313" w:rsidRPr="00253313" w:rsidRDefault="00253313" w:rsidP="0002559B">
      <w:pPr>
        <w:shd w:val="clear" w:color="auto" w:fill="FFFFFF"/>
        <w:spacing w:before="900" w:after="300" w:line="240" w:lineRule="auto"/>
        <w:jc w:val="both"/>
        <w:outlineLvl w:val="1"/>
        <w:rPr>
          <w:rFonts w:ascii="Arial" w:eastAsia="Times New Roman" w:hAnsi="Arial" w:cs="Arial"/>
          <w:color w:val="1C1C1C"/>
          <w:sz w:val="36"/>
          <w:szCs w:val="36"/>
          <w:lang w:eastAsia="ru-RU"/>
        </w:rPr>
      </w:pPr>
      <w:r w:rsidRPr="00253313">
        <w:rPr>
          <w:rFonts w:ascii="Arial" w:eastAsia="Times New Roman" w:hAnsi="Arial" w:cs="Arial"/>
          <w:color w:val="1C1C1C"/>
          <w:sz w:val="36"/>
          <w:szCs w:val="36"/>
          <w:lang w:eastAsia="ru-RU"/>
        </w:rPr>
        <w:t>Признаки выплаты серых зарплат для налоговой службы</w:t>
      </w:r>
    </w:p>
    <w:p w:rsidR="00253313" w:rsidRPr="00512E33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E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Как бы руководство компании ни старалось обходить официальные нормы оплаты труда, есть косвенные признаки того, что организация идет на хитрости и показывает меньшие суммы, чем действительно платит.</w:t>
      </w:r>
    </w:p>
    <w:tbl>
      <w:tblPr>
        <w:tblW w:w="9678" w:type="dxa"/>
        <w:tblBorders>
          <w:top w:val="single" w:sz="6" w:space="0" w:color="EAECEF"/>
          <w:left w:val="single" w:sz="6" w:space="0" w:color="EAECEF"/>
          <w:bottom w:val="single" w:sz="6" w:space="0" w:color="EAECEF"/>
          <w:right w:val="single" w:sz="6" w:space="0" w:color="EAEC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6"/>
        <w:gridCol w:w="4962"/>
      </w:tblGrid>
      <w:tr w:rsidR="00253313" w:rsidRPr="006508DC" w:rsidTr="006508DC">
        <w:trPr>
          <w:trHeight w:val="630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 того, что компания занижает показатели платы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Вопросы к указанным </w:t>
            </w:r>
            <w:proofErr w:type="gramStart"/>
            <w:r w:rsidRPr="00650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размерам оплаты труда</w:t>
            </w:r>
            <w:proofErr w:type="gramEnd"/>
            <w:r w:rsidRPr="00650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официальных ведомств</w:t>
            </w:r>
          </w:p>
        </w:tc>
      </w:tr>
      <w:tr w:rsidR="00253313" w:rsidRPr="006508DC" w:rsidTr="006508DC">
        <w:trPr>
          <w:trHeight w:val="630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более высокого оклада в описании вакансии на специальных ресурсах, чем в отчетах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Жалованье значительно ниже рынка</w:t>
            </w:r>
          </w:p>
        </w:tc>
      </w:tr>
      <w:tr w:rsidR="00253313" w:rsidRPr="006508DC" w:rsidTr="006508DC">
        <w:trPr>
          <w:trHeight w:val="630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Сигналы от сотрудников фирмы, жалобы на нарушения оплаты труда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отличий между платой для линейных и руководящих позиций</w:t>
            </w:r>
          </w:p>
        </w:tc>
      </w:tr>
      <w:tr w:rsidR="00253313" w:rsidRPr="006508DC" w:rsidTr="006508DC">
        <w:trPr>
          <w:trHeight w:val="630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с указанием сумм бонусов, обнаруженные во время проверок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сотрудников, отражаемые в декларациях или других отчетах ФНС, значительно превышают их доходы</w:t>
            </w:r>
          </w:p>
        </w:tc>
      </w:tr>
      <w:tr w:rsidR="00253313" w:rsidRPr="006508DC" w:rsidTr="006508DC">
        <w:trPr>
          <w:trHeight w:val="1050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Доходы в справке, которую выдали сотруднику для получения кредита или визы, не совпадают с </w:t>
            </w:r>
            <w:proofErr w:type="gramStart"/>
            <w:r w:rsidRPr="006508DC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официальными</w:t>
            </w:r>
            <w:proofErr w:type="gram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Соискатели соглашаются на оплату ниже, чем была на предыдущем месте работы</w:t>
            </w:r>
          </w:p>
        </w:tc>
      </w:tr>
    </w:tbl>
    <w:p w:rsidR="00253313" w:rsidRPr="00253313" w:rsidRDefault="00253313" w:rsidP="0002559B">
      <w:pPr>
        <w:shd w:val="clear" w:color="auto" w:fill="FFFFFF"/>
        <w:spacing w:before="900" w:after="300" w:line="240" w:lineRule="auto"/>
        <w:jc w:val="both"/>
        <w:outlineLvl w:val="1"/>
        <w:rPr>
          <w:rFonts w:ascii="Arial" w:eastAsia="Times New Roman" w:hAnsi="Arial" w:cs="Arial"/>
          <w:color w:val="1C1C1C"/>
          <w:sz w:val="36"/>
          <w:szCs w:val="36"/>
          <w:lang w:eastAsia="ru-RU"/>
        </w:rPr>
      </w:pPr>
      <w:r w:rsidRPr="00253313">
        <w:rPr>
          <w:rFonts w:ascii="Arial" w:eastAsia="Times New Roman" w:hAnsi="Arial" w:cs="Arial"/>
          <w:color w:val="1C1C1C"/>
          <w:sz w:val="36"/>
          <w:szCs w:val="36"/>
          <w:lang w:eastAsia="ru-RU"/>
        </w:rPr>
        <w:t>Кто ответит за серую зарплату – работодатель или работник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Корректное отражение оплаты работы персонала – ответственность работодателя, взыскания за уход от сборов накладывают на организацию. Они бывают налоговые, административные и уголовные.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Если фирма не полностью выплачивает НДФЛ и страховые взносы, декларируя только часть оплаты персоналу, то взыскания за это прописаны в разных статьях Налогового кодекса </w:t>
      </w:r>
      <w:proofErr w:type="gramStart"/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Российский</w:t>
      </w:r>
      <w:proofErr w:type="gramEnd"/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Федерации (НК РФ).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Одна из мер взыскания с предприятий, работающих в теневой зоне, – начисление дополнительных взносов, пеней и штрафов. При этом штрафом облагаются суммы, связанные с начислением зарплаты (НДФЛ, страховые взносы), налогами на прибыль (НДС, прибыль, УСН, ЕСХН). Возможность взыскать с организации доплату НДФЛ оговорена в </w:t>
      </w:r>
      <w:hyperlink r:id="rId7" w:tgtFrame="_blank" w:history="1">
        <w:r w:rsidRPr="006508DC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ст. 226 НК РФ</w:t>
        </w:r>
      </w:hyperlink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Ответственность за неполную уплату страховых взносов регламентирует </w:t>
      </w:r>
      <w:hyperlink r:id="rId8" w:tgtFrame="_blank" w:history="1">
        <w:r w:rsidRPr="006508DC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ст. 122 НК РФ</w:t>
        </w:r>
      </w:hyperlink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она предполагает два вида штрафов: 20% и 40% от суммы неуплаченного взноса. Более высокий штраф накладывают, если налицо намеренное уменьшение, а частичные отчисления взносов за сотрудников подтверждают намеренность действий налогоплательщика.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Сокрытие доходов физлиц регулируется </w:t>
      </w:r>
      <w:hyperlink r:id="rId9" w:tgtFrame="_blank" w:history="1">
        <w:r w:rsidRPr="006508DC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ст. 123</w:t>
        </w:r>
      </w:hyperlink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 грозит штрафом 20% от суммы, которую обязана выплатить компания.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Низкие отчисления по зарплате – это сигнал для проверки всей отчетности компании, подозрения в неуплате процентов с прибыли, так как высокие скрываемые доплаты выдают из более высоких доходов, которые, как правило, не декларируются полностью.</w:t>
      </w:r>
    </w:p>
    <w:p w:rsidR="00253313" w:rsidRPr="006508DC" w:rsidRDefault="00253313" w:rsidP="0002559B">
      <w:pPr>
        <w:shd w:val="clear" w:color="auto" w:fill="F6F8FB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 время крупной проверки тщательно изучают данные о выручке. Если ее объем занижен, то снижается НДС, налог на прибыль, УСН или ЕСХН.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Руководящие лица компании, отвечающие за бухгалтерскую отчетность и отчисления в ФНС, привлекают к административной ответственности, если они допустили занижение данных бухгалтерской отчетности более чем на 10%, или их деятельность привела к неуплате в особо крупных размерах согласно </w:t>
      </w:r>
      <w:hyperlink r:id="rId10" w:tgtFrame="_blank" w:history="1">
        <w:r w:rsidRPr="006508DC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ст. 15.11 КоАП РФ</w:t>
        </w:r>
      </w:hyperlink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Размеры штрафов:</w:t>
      </w:r>
    </w:p>
    <w:p w:rsidR="00253313" w:rsidRPr="006508DC" w:rsidRDefault="00253313" w:rsidP="00025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первом нарушении – 5-10 тысяч рублей;</w:t>
      </w:r>
    </w:p>
    <w:p w:rsidR="00253313" w:rsidRPr="006508DC" w:rsidRDefault="00253313" w:rsidP="00025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при </w:t>
      </w:r>
      <w:proofErr w:type="gramStart"/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вторичном</w:t>
      </w:r>
      <w:proofErr w:type="gramEnd"/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– 10-20 тысяч рублей;</w:t>
      </w:r>
    </w:p>
    <w:p w:rsidR="00253313" w:rsidRPr="006508DC" w:rsidRDefault="00253313" w:rsidP="00025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дисквалификация – от одного до двух лет.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1" w:tgtFrame="_blank" w:history="1">
        <w:r w:rsidRPr="006508DC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Ст. 199 Уголовного кодекса РФ</w:t>
        </w:r>
      </w:hyperlink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предполагает взыскания и уголовную ответственность за нарушения бухгалтерской отчетности.</w:t>
      </w:r>
    </w:p>
    <w:tbl>
      <w:tblPr>
        <w:tblW w:w="9536" w:type="dxa"/>
        <w:tblBorders>
          <w:top w:val="single" w:sz="6" w:space="0" w:color="EAECEF"/>
          <w:left w:val="single" w:sz="6" w:space="0" w:color="EAECEF"/>
          <w:bottom w:val="single" w:sz="6" w:space="0" w:color="EAECEF"/>
          <w:right w:val="single" w:sz="6" w:space="0" w:color="EAEC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0"/>
        <w:gridCol w:w="4536"/>
      </w:tblGrid>
      <w:tr w:rsidR="00253313" w:rsidRPr="006508DC" w:rsidTr="006508DC">
        <w:trPr>
          <w:trHeight w:val="1050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Крупные нарушения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Особо крупные нарушения или совершенные группой лиц по сговору</w:t>
            </w:r>
          </w:p>
        </w:tc>
      </w:tr>
      <w:tr w:rsidR="00253313" w:rsidRPr="006508DC" w:rsidTr="006508DC">
        <w:trPr>
          <w:trHeight w:val="630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Взыскания 100-300 тысяч руб., погашение долга за счет оплаты труда заключенного на период 1-2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 200-500 тысяч руб., изъятие зарплаты, другого дохода осужденного за 1-3 года</w:t>
            </w:r>
          </w:p>
        </w:tc>
      </w:tr>
      <w:tr w:rsidR="00253313" w:rsidRPr="006508DC" w:rsidTr="006508DC">
        <w:trPr>
          <w:trHeight w:val="945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Принудительные работы на период до 2 лет + невозможность занимать некоторые позиции/работать в определенной сфере до 3 лет /бессрочно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Принудительные работы до 5 лет, лишение права работать на некоторых позициях, в определенной сфере до 3 лет/бессрочно</w:t>
            </w:r>
          </w:p>
        </w:tc>
      </w:tr>
      <w:tr w:rsidR="00253313" w:rsidRPr="006508DC" w:rsidTr="006508DC">
        <w:trPr>
          <w:trHeight w:val="330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Арест до полугода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B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Тюремный срок до 6 лет, запрет работать на некоторых позициях или заниматься некоторыми видами бизнеса до 3 лет/бессрочно</w:t>
            </w:r>
          </w:p>
        </w:tc>
      </w:tr>
      <w:tr w:rsidR="00253313" w:rsidRPr="006508DC" w:rsidTr="006508DC">
        <w:trPr>
          <w:trHeight w:val="315"/>
        </w:trPr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Тюремное заключение до 2 лет</w:t>
            </w: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313" w:rsidRPr="006508DC" w:rsidRDefault="00253313" w:rsidP="00025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человек или компания впервые замечены в укрытии доходов, они могут избежать административных, уголовных взысканий, выплатив пени и штрафы, которые начислит ФНС.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Наемного служащего, получающего оплату в конверте, наказать штрафами не могут, так как оплата труда – обязанность руководителя и бухгалтера. Бухгалтер формирует отчеты, а руководитель получает прибыль от работы предприятия.</w:t>
      </w:r>
    </w:p>
    <w:p w:rsidR="00253313" w:rsidRPr="00253313" w:rsidRDefault="00253313" w:rsidP="000255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1C1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57888" cy="3971925"/>
            <wp:effectExtent l="19050" t="0" r="4762" b="0"/>
            <wp:docPr id="5" name="Рисунок 5" descr="налог зарплата 5 6 ндф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лог зарплата 5 6 ндф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05" cy="397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13" w:rsidRPr="00253313" w:rsidRDefault="00253313" w:rsidP="0002559B">
      <w:pPr>
        <w:shd w:val="clear" w:color="auto" w:fill="FFFFFF"/>
        <w:spacing w:before="900" w:after="300" w:line="240" w:lineRule="auto"/>
        <w:jc w:val="both"/>
        <w:outlineLvl w:val="1"/>
        <w:rPr>
          <w:rFonts w:ascii="Arial" w:eastAsia="Times New Roman" w:hAnsi="Arial" w:cs="Arial"/>
          <w:color w:val="1C1C1C"/>
          <w:sz w:val="36"/>
          <w:szCs w:val="36"/>
          <w:lang w:eastAsia="ru-RU"/>
        </w:rPr>
      </w:pPr>
      <w:r w:rsidRPr="00253313">
        <w:rPr>
          <w:rFonts w:ascii="Arial" w:eastAsia="Times New Roman" w:hAnsi="Arial" w:cs="Arial"/>
          <w:color w:val="1C1C1C"/>
          <w:sz w:val="36"/>
          <w:szCs w:val="36"/>
          <w:lang w:eastAsia="ru-RU"/>
        </w:rPr>
        <w:t>Как предпринимателю выйти из серой зоны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 xml:space="preserve">Бизнес Бориса Иванова по продаже кондиционеров стал активно развиваться в летний период, поэтому предприниматель решил перейти на белые зарплаты. До этого он официально платил сотрудникам 15 000 руб./мес., а бонусы по результатам продаж вручал в конце месяца наличными. Перед ним и его бухгалтером </w:t>
      </w:r>
      <w:proofErr w:type="gramStart"/>
      <w:r w:rsidRPr="006508DC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встала задача плавно перейти</w:t>
      </w:r>
      <w:proofErr w:type="gramEnd"/>
      <w:r w:rsidRPr="006508DC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 xml:space="preserve"> от «конвертной» системы к прозрачной и официальной схеме премирования.</w:t>
      </w:r>
    </w:p>
    <w:p w:rsidR="00253313" w:rsidRPr="006508DC" w:rsidRDefault="00253313" w:rsidP="0002559B">
      <w:pPr>
        <w:shd w:val="clear" w:color="auto" w:fill="F6F8FB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Проводите переход постепенно, на 15-20% ежеквартально увеличивая средние доходы сотрудников. Введите различие между оплатой линейных специалистов (например, менеджеров по продажам) и руководителей отделов. Иначе контролирующие органы заинтересуются резким повышением и назначат проверку, которая может обернуться штрафами. Увеличение выплат сотрудникам нужно будет объяснить проверяющим и мотивировать увеличением доходов компании.</w:t>
      </w:r>
    </w:p>
    <w:p w:rsidR="00253313" w:rsidRPr="006508DC" w:rsidRDefault="00253313" w:rsidP="000255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Способы постепенного перехода от серой зарплаты </w:t>
      </w:r>
      <w:proofErr w:type="gramStart"/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</w:t>
      </w:r>
      <w:proofErr w:type="gramEnd"/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белой</w:t>
      </w:r>
    </w:p>
    <w:p w:rsidR="00253313" w:rsidRPr="006508DC" w:rsidRDefault="00253313" w:rsidP="000255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Выдача премий, бонусов.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Добавка в виде бонусов – распространенная практика, но регулярные доплаты вызовут вопросы – не является ли такая постоянная «мотивация» частью оплаты труда. Во избежание вопросов, сформируйте документ, где будет оговорено, что достижение компанией определенных показателей прибыли за квартал предполагает премирование сотрудников.</w:t>
      </w:r>
    </w:p>
    <w:p w:rsidR="00253313" w:rsidRPr="006508DC" w:rsidRDefault="00253313" w:rsidP="000255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Индексирование.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Внутренний акт компании, закрепляющий индексацию раз в год, позволит постепенно увеличивать официальные доходы сотрудников, объясняя это инфляцией, ростом доходов. Такой вид повышения оплаты распространяется на всех наемных сотрудников.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Если проверяющий просит объяснить низкую оплату, работодатель может </w:t>
      </w:r>
      <w:proofErr w:type="gramStart"/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предоставить документы</w:t>
      </w:r>
      <w:proofErr w:type="gramEnd"/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подтверждающие, что:</w:t>
      </w:r>
    </w:p>
    <w:p w:rsidR="00253313" w:rsidRPr="006508DC" w:rsidRDefault="00253313" w:rsidP="000255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сотрудники работают неполный день;</w:t>
      </w:r>
    </w:p>
    <w:p w:rsidR="00253313" w:rsidRPr="006508DC" w:rsidRDefault="00253313" w:rsidP="000255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это молодые специалисты без опыта;</w:t>
      </w:r>
    </w:p>
    <w:p w:rsidR="00253313" w:rsidRPr="006508DC" w:rsidRDefault="00253313" w:rsidP="000255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снизились доходы организации (требует документальных доказательств);</w:t>
      </w:r>
    </w:p>
    <w:p w:rsidR="00253313" w:rsidRPr="006508DC" w:rsidRDefault="00253313" w:rsidP="000255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произошел временный спад, связанный с сезонностью, внешнеэкономическими факторами (пандемия и т.п.);</w:t>
      </w:r>
    </w:p>
    <w:p w:rsidR="00253313" w:rsidRPr="006508DC" w:rsidRDefault="00253313" w:rsidP="000255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есть нематериальная компенсация – ДМС, бесплатные обеды, обучение за счет компании.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Сотрудники могут сами подтвердить, что не получают незаконных «доплат».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ИФНС задает вопросы относительно массовых сокращений сотрудников: не является ли это способом вывести людей из штата и платить им «на руки». Предоставьте списки служащих до и после сокращения, где изменен список должностей или количество людей, занимающих каждую должность.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Существуют схемы, по которым бывшие и даже нынешние штатные сотрудники выполняют работу для компании по договорам подряда. Продемонстрировать проверяющим, что ваша компания не занимается подобным, можно, предоставив списки нынешних и уволенных, договорников – в них не должно быть пересечений.</w:t>
      </w:r>
    </w:p>
    <w:p w:rsidR="00253313" w:rsidRPr="006508DC" w:rsidRDefault="00253313" w:rsidP="0002559B">
      <w:pPr>
        <w:shd w:val="clear" w:color="auto" w:fill="F6F8FB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После того, как предприниматель выводит из теневой зоны доходы работников, он может использовать удобные банковские инструменты. Один из них – зарплатный проект от Совкомбанка, позволяющий перечислять деньги день в день, выпускать карты с собственным дизайном, пользоваться преимуществами для </w:t>
      </w:r>
      <w:proofErr w:type="gramStart"/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бизнес-клиентов</w:t>
      </w:r>
      <w:proofErr w:type="gramEnd"/>
      <w:r w:rsidRPr="006508D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– бесплатным выпуском и обслуживанием карт.</w:t>
      </w:r>
    </w:p>
    <w:p w:rsidR="00253313" w:rsidRPr="00253313" w:rsidRDefault="00253313" w:rsidP="0002559B">
      <w:pPr>
        <w:shd w:val="clear" w:color="auto" w:fill="FFFFFF"/>
        <w:spacing w:before="900" w:after="300" w:line="240" w:lineRule="auto"/>
        <w:jc w:val="both"/>
        <w:outlineLvl w:val="1"/>
        <w:rPr>
          <w:rFonts w:ascii="Arial" w:eastAsia="Times New Roman" w:hAnsi="Arial" w:cs="Arial"/>
          <w:color w:val="1C1C1C"/>
          <w:sz w:val="36"/>
          <w:szCs w:val="36"/>
          <w:lang w:eastAsia="ru-RU"/>
        </w:rPr>
      </w:pPr>
      <w:r w:rsidRPr="00253313">
        <w:rPr>
          <w:rFonts w:ascii="Arial" w:eastAsia="Times New Roman" w:hAnsi="Arial" w:cs="Arial"/>
          <w:color w:val="1C1C1C"/>
          <w:sz w:val="36"/>
          <w:szCs w:val="36"/>
          <w:lang w:eastAsia="ru-RU"/>
        </w:rPr>
        <w:t>Преимущества белой зарплаты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Главный и самый весомый плюс от честной оплаты работы сотрудников – отсутствие претензий со стороны надзирающих органов и лишних вопросов к общему объему доходов. Вторая причина отказа от незаконных схем не связана с выгодой – персонал не соглашается получать деньги напрямую, людям нужны отчисления в полном объеме.</w:t>
      </w:r>
    </w:p>
    <w:p w:rsidR="00253313" w:rsidRPr="006508DC" w:rsidRDefault="00253313" w:rsidP="0002559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253313" w:rsidRPr="006508DC" w:rsidRDefault="00253313" w:rsidP="0002559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Выгоды белой зарплаты для сотрудников очевидны.</w:t>
      </w:r>
    </w:p>
    <w:p w:rsidR="00253313" w:rsidRPr="006508DC" w:rsidRDefault="00253313" w:rsidP="00025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Они чувствуют себя защищенными, а компанию воспринимают как честную и ответственную. Это повышает мотивацию.</w:t>
      </w:r>
    </w:p>
    <w:p w:rsidR="00253313" w:rsidRPr="006508DC" w:rsidRDefault="00253313" w:rsidP="00025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Оплата через кассу в полном объеме гарантирует, что организация не удержит часть денег без объяснений, а если удержание незаконное, официальное оформление позволит требовать компенсацию, отстаивать свои права.</w:t>
      </w:r>
    </w:p>
    <w:p w:rsidR="00253313" w:rsidRPr="006508DC" w:rsidRDefault="00253313" w:rsidP="00025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Служащий знает, что после выхода на больничный, в отпуск по уходу за ребенком, декретный и отпуск по графику, он не останется с мизерными деньгами, на которые не сможет прожить.</w:t>
      </w:r>
    </w:p>
    <w:p w:rsidR="00253313" w:rsidRPr="006508DC" w:rsidRDefault="00253313" w:rsidP="00025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Сотрудник компании может смело идти в банк за </w:t>
      </w:r>
      <w:hyperlink r:id="rId13" w:tgtFrame="_blank" w:history="1">
        <w:r w:rsidRPr="006508DC">
          <w:rPr>
            <w:rFonts w:ascii="Times New Roman" w:eastAsia="Times New Roman" w:hAnsi="Times New Roman" w:cs="Times New Roman"/>
            <w:color w:val="2C75F2"/>
            <w:sz w:val="28"/>
            <w:szCs w:val="28"/>
            <w:u w:val="single"/>
            <w:lang w:eastAsia="ru-RU"/>
          </w:rPr>
          <w:t>потребительским кредитом</w:t>
        </w:r>
      </w:hyperlink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или оформлять визу, предоставив официальные данные в банк и визовый центр. Если ему придет отказ, то не из-за того, что справка с работы не совпадает с данными других источников.</w:t>
      </w:r>
    </w:p>
    <w:p w:rsidR="00253313" w:rsidRPr="006508DC" w:rsidRDefault="00253313" w:rsidP="000255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Получатель официального дохода знает, что его пенсионные накопления растут. Делая выбор в сторону работы по найму, мы передаем право перечислять за себя деньги в ПФР на компанию. И хотя серые или черные доходы могут выглядеть привлекательно, сами за себя мы отчисления в ПФР не сделаем (как правило), а значит, выбрав незаконную схему оплаты, уменьшим страховую часть собственной пенсии в будущем.</w:t>
      </w:r>
    </w:p>
    <w:p w:rsidR="00253313" w:rsidRPr="006508DC" w:rsidRDefault="00253313" w:rsidP="0002559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508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персоналу, и работодателям с экономической стороны выгоднее переходить на «светлую сторону» – чем меньше нарушений допускает компания при оплате труда, тем меньше внимания она привлекает со стороны проверяющих органов. Выгоды работников в среднесрочной и долгосрочной перспективе тоже выше при официальном жаловании. Даже более высокая оплата, идущая в обход  государственных служб, не позволит в чрезвычайных ситуациях покрыть расходы на содержание ребенка до трех лет или покупку квартиры по невыгодным условиям ипотеки, а именно такие предлагают людям с низким официальным доходом.</w:t>
      </w:r>
    </w:p>
    <w:p w:rsidR="007636C2" w:rsidRPr="006508DC" w:rsidRDefault="007636C2" w:rsidP="000255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6C2" w:rsidRPr="006508DC" w:rsidSect="00F6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CBA"/>
    <w:multiLevelType w:val="multilevel"/>
    <w:tmpl w:val="E5F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87A7A"/>
    <w:multiLevelType w:val="multilevel"/>
    <w:tmpl w:val="E72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77EB2"/>
    <w:multiLevelType w:val="multilevel"/>
    <w:tmpl w:val="720A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166F"/>
    <w:multiLevelType w:val="multilevel"/>
    <w:tmpl w:val="BA2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E666A"/>
    <w:multiLevelType w:val="multilevel"/>
    <w:tmpl w:val="8EC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B42CB"/>
    <w:multiLevelType w:val="multilevel"/>
    <w:tmpl w:val="7162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7288A"/>
    <w:multiLevelType w:val="multilevel"/>
    <w:tmpl w:val="FA1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D49F7"/>
    <w:multiLevelType w:val="multilevel"/>
    <w:tmpl w:val="7D82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1F15"/>
    <w:rsid w:val="0002559B"/>
    <w:rsid w:val="000B7A0D"/>
    <w:rsid w:val="00101F15"/>
    <w:rsid w:val="002207CD"/>
    <w:rsid w:val="00253313"/>
    <w:rsid w:val="0047588D"/>
    <w:rsid w:val="00502604"/>
    <w:rsid w:val="00512E33"/>
    <w:rsid w:val="006508DC"/>
    <w:rsid w:val="007477DD"/>
    <w:rsid w:val="007636C2"/>
    <w:rsid w:val="00931C7B"/>
    <w:rsid w:val="00D0728D"/>
    <w:rsid w:val="00F6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0"/>
  </w:style>
  <w:style w:type="paragraph" w:styleId="1">
    <w:name w:val="heading 1"/>
    <w:basedOn w:val="a"/>
    <w:link w:val="10"/>
    <w:uiPriority w:val="9"/>
    <w:qFormat/>
    <w:rsid w:val="00253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12ftkmy-3">
    <w:name w:val="sc-12ftkmy-3"/>
    <w:basedOn w:val="a0"/>
    <w:rsid w:val="00253313"/>
  </w:style>
  <w:style w:type="character" w:styleId="a3">
    <w:name w:val="Hyperlink"/>
    <w:basedOn w:val="a0"/>
    <w:uiPriority w:val="99"/>
    <w:semiHidden/>
    <w:unhideWhenUsed/>
    <w:rsid w:val="00253313"/>
    <w:rPr>
      <w:color w:val="0000FF"/>
      <w:u w:val="single"/>
    </w:rPr>
  </w:style>
  <w:style w:type="character" w:customStyle="1" w:styleId="sc-bmv3vn-2">
    <w:name w:val="sc-bmv3vn-2"/>
    <w:basedOn w:val="a0"/>
    <w:rsid w:val="00253313"/>
  </w:style>
  <w:style w:type="character" w:customStyle="1" w:styleId="ya-share2title">
    <w:name w:val="ya-share2__title"/>
    <w:basedOn w:val="a0"/>
    <w:rsid w:val="00253313"/>
  </w:style>
  <w:style w:type="character" w:customStyle="1" w:styleId="sc-r9y7g0-9">
    <w:name w:val="sc-r9y7g0-9"/>
    <w:basedOn w:val="a0"/>
    <w:rsid w:val="00253313"/>
  </w:style>
  <w:style w:type="paragraph" w:customStyle="1" w:styleId="sc-r9y7g0-3">
    <w:name w:val="sc-r9y7g0-3"/>
    <w:basedOn w:val="a"/>
    <w:rsid w:val="002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3313"/>
    <w:rPr>
      <w:b/>
      <w:bCs/>
    </w:rPr>
  </w:style>
  <w:style w:type="character" w:styleId="a6">
    <w:name w:val="Emphasis"/>
    <w:basedOn w:val="a0"/>
    <w:uiPriority w:val="20"/>
    <w:qFormat/>
    <w:rsid w:val="0025331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3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3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3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AECEF"/>
                <w:right w:val="none" w:sz="0" w:space="0" w:color="auto"/>
              </w:divBdr>
              <w:divsChild>
                <w:div w:id="770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4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0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6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AECEF"/>
                <w:right w:val="none" w:sz="0" w:space="0" w:color="auto"/>
              </w:divBdr>
              <w:divsChild>
                <w:div w:id="1583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5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6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34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single" w:sz="24" w:space="18" w:color="FF5967"/>
                    <w:bottom w:val="none" w:sz="0" w:space="0" w:color="auto"/>
                    <w:right w:val="none" w:sz="0" w:space="0" w:color="auto"/>
                  </w:divBdr>
                  <w:divsChild>
                    <w:div w:id="19420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80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69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180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3904">
                      <w:blockQuote w:val="1"/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49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36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79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246">
                      <w:blockQuote w:val="1"/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23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43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980">
                      <w:blockQuote w:val="1"/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79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86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single" w:sz="24" w:space="18" w:color="FF5967"/>
                    <w:bottom w:val="none" w:sz="0" w:space="0" w:color="auto"/>
                    <w:right w:val="none" w:sz="0" w:space="0" w:color="auto"/>
                  </w:divBdr>
                  <w:divsChild>
                    <w:div w:id="3087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832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CE3"/>
                        <w:left w:val="single" w:sz="6" w:space="0" w:color="D2DCE3"/>
                        <w:bottom w:val="single" w:sz="6" w:space="0" w:color="D2DCE3"/>
                        <w:right w:val="single" w:sz="6" w:space="0" w:color="D2DCE3"/>
                      </w:divBdr>
                    </w:div>
                    <w:div w:id="7514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42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1bab8cfd8c4da82e8af44f7ebcbfa1716bac9586/" TargetMode="External"/><Relationship Id="rId13" Type="http://schemas.openxmlformats.org/officeDocument/2006/relationships/hyperlink" Target="https://sovcombank.ru/apply/credit/potrebitelskij-kred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ecfd690acbabfd266e9d5c4ac0275726d4d0a7c1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10699/a53c2c91548ccb4f65ea933d514845a09be77ed5/" TargetMode="External"/><Relationship Id="rId5" Type="http://schemas.openxmlformats.org/officeDocument/2006/relationships/hyperlink" Target="https://wciom.ru/analytical-reviews/analiticheskii-obzor/zarplata-v-konverte-ischezajushchaja-natur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661/b601eaef14558a22e40e549845ddc25563eb06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671/539d6ca4c0a10b10485324dbcec142f73acb015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10836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Кто ответит за серую зарплату и как доказать ее существование</vt:lpstr>
      <vt:lpstr>    Какую зарплату называют серой и почему</vt:lpstr>
      <vt:lpstr>    Признаки выплаты серых зарплат для налоговой службы</vt:lpstr>
      <vt:lpstr>    Кто ответит за серую зарплату – работодатель или работник</vt:lpstr>
      <vt:lpstr>    Как предпринимателю выйти из серой зоны</vt:lpstr>
      <vt:lpstr>        Способы постепенного перехода от серой зарплаты к белой</vt:lpstr>
      <vt:lpstr>    Преимущества белой зарплаты</vt:lpstr>
    </vt:vector>
  </TitlesOfParts>
  <Company>SPecialiST RePack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2022-11-18T12:50:00Z</cp:lastPrinted>
  <dcterms:created xsi:type="dcterms:W3CDTF">2022-12-06T08:00:00Z</dcterms:created>
  <dcterms:modified xsi:type="dcterms:W3CDTF">2022-12-06T08:00:00Z</dcterms:modified>
</cp:coreProperties>
</file>