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DB" w:rsidRDefault="00D013DB" w:rsidP="00D013DB">
      <w:pPr>
        <w:pStyle w:val="1"/>
        <w:spacing w:before="0" w:after="675"/>
        <w:rPr>
          <w:rFonts w:ascii="Arial" w:hAnsi="Arial" w:cs="Arial"/>
          <w:color w:val="2C2A29"/>
          <w:sz w:val="60"/>
          <w:szCs w:val="60"/>
        </w:rPr>
      </w:pPr>
      <w:r>
        <w:rPr>
          <w:rFonts w:ascii="Arial" w:hAnsi="Arial" w:cs="Arial"/>
          <w:color w:val="2C2A29"/>
          <w:sz w:val="60"/>
          <w:szCs w:val="60"/>
        </w:rPr>
        <w:t xml:space="preserve">За первое полугодие 2025 года объем поддержки по программе льготного лизинга составил 181 </w:t>
      </w:r>
      <w:proofErr w:type="spellStart"/>
      <w:proofErr w:type="gramStart"/>
      <w:r>
        <w:rPr>
          <w:rFonts w:ascii="Arial" w:hAnsi="Arial" w:cs="Arial"/>
          <w:color w:val="2C2A29"/>
          <w:sz w:val="60"/>
          <w:szCs w:val="60"/>
        </w:rPr>
        <w:t>млн</w:t>
      </w:r>
      <w:proofErr w:type="spellEnd"/>
      <w:proofErr w:type="gramEnd"/>
      <w:r>
        <w:rPr>
          <w:rFonts w:ascii="Arial" w:hAnsi="Arial" w:cs="Arial"/>
          <w:color w:val="2C2A29"/>
          <w:sz w:val="60"/>
          <w:szCs w:val="60"/>
        </w:rPr>
        <w:t xml:space="preserve"> рублей</w:t>
      </w:r>
    </w:p>
    <w:p w:rsidR="00D013DB" w:rsidRDefault="00D013DB" w:rsidP="00D013DB">
      <w:pPr>
        <w:pStyle w:val="a3"/>
        <w:rPr>
          <w:rFonts w:ascii="Arial" w:hAnsi="Arial" w:cs="Arial"/>
          <w:color w:val="2C2A29"/>
          <w:sz w:val="27"/>
          <w:szCs w:val="27"/>
        </w:rPr>
      </w:pPr>
      <w:r>
        <w:rPr>
          <w:rFonts w:ascii="Arial" w:hAnsi="Arial" w:cs="Arial"/>
          <w:color w:val="2C2A29"/>
          <w:sz w:val="27"/>
          <w:szCs w:val="27"/>
        </w:rPr>
        <w:t xml:space="preserve">Минэкономразвития России подвело итоги реализации программы льготного лизинга оборудования для малых и средних компаний за первое полугодие 2025 года. Сумма поддержки превысила 180 </w:t>
      </w:r>
      <w:proofErr w:type="spellStart"/>
      <w:proofErr w:type="gramStart"/>
      <w:r>
        <w:rPr>
          <w:rFonts w:ascii="Arial" w:hAnsi="Arial" w:cs="Arial"/>
          <w:color w:val="2C2A29"/>
          <w:sz w:val="27"/>
          <w:szCs w:val="27"/>
        </w:rPr>
        <w:t>млн</w:t>
      </w:r>
      <w:proofErr w:type="spellEnd"/>
      <w:proofErr w:type="gramEnd"/>
      <w:r>
        <w:rPr>
          <w:rFonts w:ascii="Arial" w:hAnsi="Arial" w:cs="Arial"/>
          <w:color w:val="2C2A29"/>
          <w:sz w:val="27"/>
          <w:szCs w:val="27"/>
        </w:rPr>
        <w:t xml:space="preserve"> рублей, а сам инструмент востребован в индустриально активных регионах.</w:t>
      </w:r>
    </w:p>
    <w:p w:rsidR="00D013DB" w:rsidRDefault="00D013DB" w:rsidP="00D013DB">
      <w:pPr>
        <w:pStyle w:val="a3"/>
        <w:rPr>
          <w:rFonts w:ascii="Arial" w:hAnsi="Arial" w:cs="Arial"/>
          <w:color w:val="2C2A29"/>
          <w:sz w:val="27"/>
          <w:szCs w:val="27"/>
        </w:rPr>
      </w:pPr>
      <w:r>
        <w:rPr>
          <w:rFonts w:ascii="Arial" w:hAnsi="Arial" w:cs="Arial"/>
          <w:color w:val="2C2A29"/>
          <w:sz w:val="27"/>
          <w:szCs w:val="27"/>
        </w:rPr>
        <w:t>Льготный лизинг играет важную роль в развитии сектора малого и среднего предпринимательства, обеспечивая компаниям доступ к современному оборудованию без необходимости единовременных крупных вложений. Это особенно важно для производственных предприятий, которым необходимо обновлять технику для повышения конкурентоспособности, расширения мощностей и выхода на новые рынки. Поддержка через лизинг снижает финансовую нагрузку, ускоряет процессы модернизации и стимулирует рост бизнеса в регионах.</w:t>
      </w:r>
    </w:p>
    <w:p w:rsidR="00D013DB" w:rsidRDefault="00D013DB" w:rsidP="00D013DB">
      <w:pPr>
        <w:pStyle w:val="a3"/>
        <w:rPr>
          <w:rFonts w:ascii="Arial" w:hAnsi="Arial" w:cs="Arial"/>
          <w:color w:val="2C2A29"/>
          <w:sz w:val="27"/>
          <w:szCs w:val="27"/>
        </w:rPr>
      </w:pPr>
      <w:r>
        <w:rPr>
          <w:rFonts w:ascii="Arial" w:hAnsi="Arial" w:cs="Arial"/>
          <w:color w:val="2C2A29"/>
          <w:sz w:val="27"/>
          <w:szCs w:val="27"/>
        </w:rPr>
        <w:t xml:space="preserve">«В первом полугодии 2025 года программой льготного лизинга воспользовались 16 компаний, сумма поддержки составила 181 </w:t>
      </w:r>
      <w:proofErr w:type="spellStart"/>
      <w:proofErr w:type="gramStart"/>
      <w:r>
        <w:rPr>
          <w:rFonts w:ascii="Arial" w:hAnsi="Arial" w:cs="Arial"/>
          <w:color w:val="2C2A29"/>
          <w:sz w:val="27"/>
          <w:szCs w:val="27"/>
        </w:rPr>
        <w:t>млн</w:t>
      </w:r>
      <w:proofErr w:type="spellEnd"/>
      <w:proofErr w:type="gramEnd"/>
      <w:r>
        <w:rPr>
          <w:rFonts w:ascii="Arial" w:hAnsi="Arial" w:cs="Arial"/>
          <w:color w:val="2C2A29"/>
          <w:sz w:val="27"/>
          <w:szCs w:val="27"/>
        </w:rPr>
        <w:t xml:space="preserve"> рублей. Средний чек сделки — 11,3 </w:t>
      </w:r>
      <w:proofErr w:type="spellStart"/>
      <w:proofErr w:type="gramStart"/>
      <w:r>
        <w:rPr>
          <w:rFonts w:ascii="Arial" w:hAnsi="Arial" w:cs="Arial"/>
          <w:color w:val="2C2A29"/>
          <w:sz w:val="27"/>
          <w:szCs w:val="27"/>
        </w:rPr>
        <w:t>млн</w:t>
      </w:r>
      <w:proofErr w:type="spellEnd"/>
      <w:proofErr w:type="gramEnd"/>
      <w:r>
        <w:rPr>
          <w:rFonts w:ascii="Arial" w:hAnsi="Arial" w:cs="Arial"/>
          <w:color w:val="2C2A29"/>
          <w:sz w:val="27"/>
          <w:szCs w:val="27"/>
        </w:rPr>
        <w:t xml:space="preserve"> рублей. Географически основная активность сосредоточена в Нижегородской области, Санкт-Петербурге и Москве, Челябинской области, Республике Башкортостан. Это свидетельствует о </w:t>
      </w:r>
      <w:proofErr w:type="spellStart"/>
      <w:r>
        <w:rPr>
          <w:rFonts w:ascii="Arial" w:hAnsi="Arial" w:cs="Arial"/>
          <w:color w:val="2C2A29"/>
          <w:sz w:val="27"/>
          <w:szCs w:val="27"/>
        </w:rPr>
        <w:t>востребованности</w:t>
      </w:r>
      <w:proofErr w:type="spellEnd"/>
      <w:r>
        <w:rPr>
          <w:rFonts w:ascii="Arial" w:hAnsi="Arial" w:cs="Arial"/>
          <w:color w:val="2C2A29"/>
          <w:sz w:val="27"/>
          <w:szCs w:val="27"/>
        </w:rPr>
        <w:t xml:space="preserve"> инструмента в индустриально активных регионах страны», — отметила заместитель министра экономического развития России Татьяна </w:t>
      </w:r>
      <w:proofErr w:type="spellStart"/>
      <w:r>
        <w:rPr>
          <w:rFonts w:ascii="Arial" w:hAnsi="Arial" w:cs="Arial"/>
          <w:color w:val="2C2A29"/>
          <w:sz w:val="27"/>
          <w:szCs w:val="27"/>
        </w:rPr>
        <w:t>Илюшникова</w:t>
      </w:r>
      <w:proofErr w:type="spellEnd"/>
      <w:r>
        <w:rPr>
          <w:rFonts w:ascii="Arial" w:hAnsi="Arial" w:cs="Arial"/>
          <w:color w:val="2C2A29"/>
          <w:sz w:val="27"/>
          <w:szCs w:val="27"/>
        </w:rPr>
        <w:t>.</w:t>
      </w:r>
    </w:p>
    <w:p w:rsidR="00D013DB" w:rsidRDefault="00D013DB" w:rsidP="00D013DB">
      <w:pPr>
        <w:pStyle w:val="a3"/>
        <w:rPr>
          <w:rFonts w:ascii="Arial" w:hAnsi="Arial" w:cs="Arial"/>
          <w:color w:val="2C2A29"/>
          <w:sz w:val="27"/>
          <w:szCs w:val="27"/>
        </w:rPr>
      </w:pPr>
      <w:r>
        <w:rPr>
          <w:rFonts w:ascii="Arial" w:hAnsi="Arial" w:cs="Arial"/>
          <w:color w:val="2C2A29"/>
          <w:sz w:val="27"/>
          <w:szCs w:val="27"/>
        </w:rPr>
        <w:t>Наибольшее количество компаний, воспользовавшихся льготным лизингом, представляют отрасли машиностроения и металлообработки — они составили 58% всех получателей. Значительную долю заняли предприятия химической промышленности (17%) и пищевой промышленности (14%).</w:t>
      </w:r>
    </w:p>
    <w:p w:rsidR="00D013DB" w:rsidRDefault="00D013DB" w:rsidP="00D013DB">
      <w:pPr>
        <w:pStyle w:val="a3"/>
        <w:rPr>
          <w:rFonts w:ascii="Arial" w:hAnsi="Arial" w:cs="Arial"/>
          <w:color w:val="2C2A29"/>
          <w:sz w:val="27"/>
          <w:szCs w:val="27"/>
        </w:rPr>
      </w:pPr>
      <w:r>
        <w:rPr>
          <w:rFonts w:ascii="Arial" w:hAnsi="Arial" w:cs="Arial"/>
          <w:color w:val="2C2A29"/>
          <w:sz w:val="27"/>
          <w:szCs w:val="27"/>
        </w:rPr>
        <w:t xml:space="preserve">Среди приобретаемого оборудования наибольшей популярностью пользовались: металлообрабатывающее оборудование и станки — 38% от общего числа предметов лизинга, оборудование для переработки </w:t>
      </w:r>
      <w:r>
        <w:rPr>
          <w:rFonts w:ascii="Arial" w:hAnsi="Arial" w:cs="Arial"/>
          <w:color w:val="2C2A29"/>
          <w:sz w:val="27"/>
          <w:szCs w:val="27"/>
        </w:rPr>
        <w:lastRenderedPageBreak/>
        <w:t xml:space="preserve">полимеров и химического сырья — 31%, </w:t>
      </w:r>
      <w:proofErr w:type="spellStart"/>
      <w:r>
        <w:rPr>
          <w:rFonts w:ascii="Arial" w:hAnsi="Arial" w:cs="Arial"/>
          <w:color w:val="2C2A29"/>
          <w:sz w:val="27"/>
          <w:szCs w:val="27"/>
        </w:rPr>
        <w:t>газопоршневые</w:t>
      </w:r>
      <w:proofErr w:type="spellEnd"/>
      <w:r>
        <w:rPr>
          <w:rFonts w:ascii="Arial" w:hAnsi="Arial" w:cs="Arial"/>
          <w:color w:val="2C2A29"/>
          <w:sz w:val="27"/>
          <w:szCs w:val="27"/>
        </w:rPr>
        <w:t xml:space="preserve"> установки — 14%, деревообрабатывающее оборудование — 11%.</w:t>
      </w:r>
    </w:p>
    <w:p w:rsidR="00D013DB" w:rsidRDefault="00D013DB" w:rsidP="00D013DB">
      <w:pPr>
        <w:pStyle w:val="a3"/>
        <w:rPr>
          <w:rFonts w:ascii="Arial" w:hAnsi="Arial" w:cs="Arial"/>
          <w:color w:val="2C2A29"/>
          <w:sz w:val="27"/>
          <w:szCs w:val="27"/>
        </w:rPr>
      </w:pPr>
      <w:r>
        <w:rPr>
          <w:rFonts w:ascii="Arial" w:hAnsi="Arial" w:cs="Arial"/>
          <w:color w:val="2C2A29"/>
          <w:sz w:val="27"/>
          <w:szCs w:val="27"/>
        </w:rPr>
        <w:t xml:space="preserve">С августа 2023 года для малого и среднего бизнеса Донецкой и Луганской Народных Республик, Запорожской и Херсонской областей действует отдельная программа льготного лизинга. Она способствует развитию промышленного сектора в новых регионах, помогает модернизировать производство и дает стимул развитию предпринимательства. Оператором программы является республиканская лизинговая компания Донецкой Республики (ГУП ДНР «РЛК»), которую в 2023 и 2024 годах профинансировали из федерального бюджета на 300 </w:t>
      </w:r>
      <w:proofErr w:type="spellStart"/>
      <w:proofErr w:type="gramStart"/>
      <w:r>
        <w:rPr>
          <w:rFonts w:ascii="Arial" w:hAnsi="Arial" w:cs="Arial"/>
          <w:color w:val="2C2A29"/>
          <w:sz w:val="27"/>
          <w:szCs w:val="27"/>
        </w:rPr>
        <w:t>млн</w:t>
      </w:r>
      <w:proofErr w:type="spellEnd"/>
      <w:proofErr w:type="gramEnd"/>
      <w:r>
        <w:rPr>
          <w:rFonts w:ascii="Arial" w:hAnsi="Arial" w:cs="Arial"/>
          <w:color w:val="2C2A29"/>
          <w:sz w:val="27"/>
          <w:szCs w:val="27"/>
        </w:rPr>
        <w:t xml:space="preserve"> рублей и предусмотрели в нормативных актах, чтобы льготный лизинг был доступен предпринимателям из всех четырех регионов. Основные условия программы: долгосрочная аренда оборудования/имущества по льготной ставке 6% годовых для российского оборудования, 8% — для иностранного, размер авансового взноса — 20–50%, срок лизинга — до 5 лет, отрасли — производство пищевых продуктов, обрабатывающая промышленность, сельское хозяйство и др.</w:t>
      </w:r>
    </w:p>
    <w:p w:rsidR="00EA6B0C" w:rsidRPr="0060578F" w:rsidRDefault="00EA6B0C" w:rsidP="00EB2045">
      <w:pP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</w:p>
    <w:sectPr w:rsidR="00EA6B0C" w:rsidRPr="0060578F" w:rsidSect="0072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4852"/>
    <w:multiLevelType w:val="multilevel"/>
    <w:tmpl w:val="4B2EB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139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0852AC"/>
    <w:multiLevelType w:val="hybridMultilevel"/>
    <w:tmpl w:val="ACC20EAE"/>
    <w:lvl w:ilvl="0" w:tplc="8D800E9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9EF"/>
    <w:rsid w:val="0005269D"/>
    <w:rsid w:val="001010E3"/>
    <w:rsid w:val="00237797"/>
    <w:rsid w:val="003106DC"/>
    <w:rsid w:val="00310B16"/>
    <w:rsid w:val="003851D8"/>
    <w:rsid w:val="005F41CA"/>
    <w:rsid w:val="0060578F"/>
    <w:rsid w:val="0072761F"/>
    <w:rsid w:val="00837713"/>
    <w:rsid w:val="008B39B4"/>
    <w:rsid w:val="009121C4"/>
    <w:rsid w:val="009470D8"/>
    <w:rsid w:val="00992BB4"/>
    <w:rsid w:val="009A3339"/>
    <w:rsid w:val="00A61130"/>
    <w:rsid w:val="00AE2A18"/>
    <w:rsid w:val="00B564B0"/>
    <w:rsid w:val="00BA0D7B"/>
    <w:rsid w:val="00C86BE3"/>
    <w:rsid w:val="00D013DB"/>
    <w:rsid w:val="00D61680"/>
    <w:rsid w:val="00DE39EF"/>
    <w:rsid w:val="00E57810"/>
    <w:rsid w:val="00EA6B0C"/>
    <w:rsid w:val="00EB2045"/>
    <w:rsid w:val="00FB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1F"/>
  </w:style>
  <w:style w:type="paragraph" w:styleId="1">
    <w:name w:val="heading 1"/>
    <w:basedOn w:val="a"/>
    <w:next w:val="a"/>
    <w:link w:val="10"/>
    <w:uiPriority w:val="9"/>
    <w:qFormat/>
    <w:rsid w:val="00605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39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39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center">
    <w:name w:val="text-center"/>
    <w:basedOn w:val="a"/>
    <w:rsid w:val="00DE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9E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86BE3"/>
    <w:pPr>
      <w:spacing w:after="0" w:line="240" w:lineRule="auto"/>
    </w:pPr>
  </w:style>
  <w:style w:type="character" w:styleId="a7">
    <w:name w:val="Emphasis"/>
    <w:qFormat/>
    <w:rsid w:val="00A61130"/>
    <w:rPr>
      <w:i/>
      <w:iCs/>
    </w:rPr>
  </w:style>
  <w:style w:type="character" w:customStyle="1" w:styleId="a8">
    <w:name w:val="Основной текст_"/>
    <w:link w:val="11"/>
    <w:rsid w:val="00A61130"/>
    <w:rPr>
      <w:rFonts w:ascii="Times New Roman" w:eastAsia="Times New Roman" w:hAnsi="Times New Roman"/>
      <w:color w:val="353239"/>
      <w:sz w:val="26"/>
      <w:szCs w:val="26"/>
    </w:rPr>
  </w:style>
  <w:style w:type="paragraph" w:customStyle="1" w:styleId="11">
    <w:name w:val="Основной текст1"/>
    <w:basedOn w:val="a"/>
    <w:link w:val="a8"/>
    <w:rsid w:val="00A61130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353239"/>
      <w:sz w:val="26"/>
      <w:szCs w:val="26"/>
    </w:rPr>
  </w:style>
  <w:style w:type="character" w:customStyle="1" w:styleId="postbottomactioncount">
    <w:name w:val="postbottomaction__count"/>
    <w:basedOn w:val="a0"/>
    <w:rsid w:val="009470D8"/>
  </w:style>
  <w:style w:type="character" w:customStyle="1" w:styleId="blindlabel">
    <w:name w:val="blind_label"/>
    <w:basedOn w:val="a0"/>
    <w:rsid w:val="009470D8"/>
  </w:style>
  <w:style w:type="character" w:customStyle="1" w:styleId="avatarrich">
    <w:name w:val="avatarrich"/>
    <w:basedOn w:val="a0"/>
    <w:rsid w:val="009470D8"/>
  </w:style>
  <w:style w:type="character" w:styleId="a9">
    <w:name w:val="Strong"/>
    <w:basedOn w:val="a0"/>
    <w:uiPriority w:val="22"/>
    <w:qFormat/>
    <w:rsid w:val="00310B16"/>
    <w:rPr>
      <w:b/>
      <w:bCs/>
    </w:rPr>
  </w:style>
  <w:style w:type="paragraph" w:styleId="aa">
    <w:name w:val="List Paragraph"/>
    <w:basedOn w:val="a"/>
    <w:uiPriority w:val="34"/>
    <w:qFormat/>
    <w:rsid w:val="00310B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5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97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1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8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9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10497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4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40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76730">
                                  <w:marLeft w:val="300"/>
                                  <w:marRight w:val="30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3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443981">
                                      <w:marLeft w:val="66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43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89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654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63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915">
                      <w:marLeft w:val="0"/>
                      <w:marRight w:val="-12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2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40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2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6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8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5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8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5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7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4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9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0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446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4167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67624">
                                      <w:marLeft w:val="0"/>
                                      <w:marRight w:val="-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8742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727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9279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19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6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23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4654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05925">
                                      <w:marLeft w:val="0"/>
                                      <w:marRight w:val="-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614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77906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5768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35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4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53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4600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02119">
                                      <w:marLeft w:val="0"/>
                                      <w:marRight w:val="-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5115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938687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0967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2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57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946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3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3038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706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9554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6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8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5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3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2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391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2766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9278">
                                      <w:marLeft w:val="0"/>
                                      <w:marRight w:val="-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4880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67320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3611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44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8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588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211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38670">
                                      <w:marLeft w:val="0"/>
                                      <w:marRight w:val="-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4432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1528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2597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5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3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729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8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6695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7301">
                                      <w:marLeft w:val="0"/>
                                      <w:marRight w:val="-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4451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57266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97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7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82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9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4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206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9612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02990">
                                      <w:marLeft w:val="0"/>
                                      <w:marRight w:val="-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6172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18326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9879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33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57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9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973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117406">
                                  <w:marLeft w:val="0"/>
                                  <w:marRight w:val="-12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89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0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88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2025-05-30T14:13:00Z</cp:lastPrinted>
  <dcterms:created xsi:type="dcterms:W3CDTF">2025-07-23T12:31:00Z</dcterms:created>
  <dcterms:modified xsi:type="dcterms:W3CDTF">2025-07-23T12:31:00Z</dcterms:modified>
</cp:coreProperties>
</file>